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怎樣閱讀出埃及記（簡體字）</w:t>
      </w:r>
    </w:p>
    <w:p>
      <w:pPr>
        <w:jc w:val="left"/>
        <w:rPr>
          <w:rFonts w:hint="eastAsia" w:ascii="新細明體" w:hAnsi="新細明體" w:eastAsia="新細明體" w:cs="新細明體"/>
        </w:rPr>
      </w:pPr>
      <w:r>
        <w:rPr>
          <w:rFonts w:hint="eastAsia" w:ascii="新細明體" w:hAnsi="新細明體" w:eastAsia="新細明體" w:cs="新細明體"/>
        </w:rPr>
        <w:t>How to Read Exodus</w:t>
      </w:r>
    </w:p>
    <w:p>
      <w:pPr>
        <w:jc w:val="left"/>
        <w:rPr>
          <w:rFonts w:hint="eastAsia" w:ascii="新細明體" w:hAnsi="新細明體" w:eastAsia="新細明體" w:cs="新細明體"/>
        </w:rPr>
      </w:pPr>
      <w:r>
        <w:rPr>
          <w:rFonts w:hint="eastAsia" w:ascii="新細明體" w:hAnsi="新細明體" w:eastAsia="新細明體" w:cs="新細明體"/>
        </w:rPr>
        <w:t>出版社：宗教文化</w:t>
      </w:r>
    </w:p>
    <w:p>
      <w:pPr>
        <w:jc w:val="left"/>
        <w:rPr>
          <w:rFonts w:hint="eastAsia" w:ascii="新細明體" w:hAnsi="新細明體" w:eastAsia="新細明體" w:cs="新細明體"/>
        </w:rPr>
      </w:pPr>
      <w:r>
        <w:rPr>
          <w:rFonts w:hint="eastAsia" w:ascii="新細明體" w:hAnsi="新細明體" w:eastAsia="新細明體" w:cs="新細明體"/>
        </w:rPr>
        <w:t>作者：川普．朗文 (Tremper Longman Iii)</w:t>
      </w:r>
    </w:p>
    <w:p>
      <w:pPr>
        <w:jc w:val="left"/>
        <w:rPr>
          <w:rFonts w:hint="eastAsia" w:ascii="新細明體" w:hAnsi="新細明體" w:eastAsia="新細明體" w:cs="新細明體"/>
        </w:rPr>
      </w:pPr>
      <w:r>
        <w:rPr>
          <w:rFonts w:hint="eastAsia" w:ascii="新細明體" w:hAnsi="新細明體" w:eastAsia="新細明體" w:cs="新細明體"/>
        </w:rPr>
        <w:t>譯者： 段素革</w:t>
      </w:r>
    </w:p>
    <w:p>
      <w:pPr>
        <w:jc w:val="left"/>
        <w:rPr>
          <w:rFonts w:hint="eastAsia" w:ascii="新細明體" w:hAnsi="新細明體" w:eastAsia="新細明體" w:cs="新細明體"/>
        </w:rPr>
      </w:pPr>
      <w:r>
        <w:rPr>
          <w:rFonts w:hint="eastAsia" w:ascii="新細明體" w:hAnsi="新細明體" w:eastAsia="新細明體" w:cs="新細明體"/>
        </w:rPr>
        <w:t>ISBN：9787802543034</w:t>
      </w:r>
    </w:p>
    <w:p>
      <w:pPr>
        <w:jc w:val="left"/>
        <w:rPr>
          <w:rFonts w:hint="eastAsia" w:ascii="新細明體" w:hAnsi="新細明體" w:eastAsia="新細明體" w:cs="新細明體"/>
        </w:rPr>
      </w:pPr>
      <w:r>
        <w:rPr>
          <w:rFonts w:hint="eastAsia" w:ascii="新細明體" w:hAnsi="新細明體" w:eastAsia="新細明體" w:cs="新細明體"/>
        </w:rPr>
        <w:t>出版日期：2010/08/01</w:t>
      </w:r>
    </w:p>
    <w:p>
      <w:pPr>
        <w:jc w:val="left"/>
        <w:rPr>
          <w:rFonts w:hint="eastAsia" w:ascii="新細明體" w:hAnsi="新細明體" w:eastAsia="新細明體" w:cs="新細明體"/>
        </w:rPr>
      </w:pPr>
      <w:r>
        <w:rPr>
          <w:rFonts w:hint="eastAsia" w:ascii="新細明體" w:hAnsi="新細明體" w:eastAsia="新細明體" w:cs="新細明體"/>
        </w:rPr>
        <w:t>內容簡介：</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今天的基督徒給予《創世記》的注意顯然比《出埃及記》更多。這種情況的部分解釋可以在通常給予創造問題的難以置信的關注中找到，這個問題已經在相信上帝創造了世界的人與不相信上帝創造了世界的人之間引起了一場“文化戰爭”。另一個促成因素只是這樣一個事實︰《創世記》是正典（教會承認為它的信仰和實踐標準的作品的主體部分）的第一部作品。</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毫無疑問，《創世記》是一部重要的作品，應該對它進行詳細的研究，因為它為隨後的許多內容提供了基礎。即是說，在其古代語境中，它是《出埃及記》的前言。更確切地說，我們必須記住，聖經一開始的五部作品（從《創世記》至《申命記》）實際上是一個有許多名稱的單一的文學整體︰《摩西書》（The Book of Moses）、《托拉》、五經。《創世記》是《托拉》的真正焦點——即以色列國家的締造——的引言。由于《出埃及記》描述了以色列如何逃離埃及的奴役，如何得到將其定義為一個民族的律法，如何建造一個中央敬拜場所——會幕，它因此具有巨大的意義。《創世記》為讀者準備傾听出埃及的故事提供了一個背景。</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怎樣閱讀（出埃及記）》給出了一個解釋這部重要作品的路標。它是一個系列叢書中的第四本，另外三本是︰《怎樣閱讀〈詩篇〉》、《怎樣閱讀〈箴言〉》、《怎樣閱讀（刨世記）》。這些書不是對那些作品的注釋，而是解釋策略的指南。雖然如此，《怎樣閱讀（出埃及記）》的第七至九章將會根據其他章中提供的背景對這部作品的內容進行一個總覽。在第十至十二章，我們將探究《出埃及記》對後來的聖經啟示——既包括舊約中的也包括新約中的——的持續影響。</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緊接著的導論性的一章將提供一個對解釋原則的總的評述，這些原則對研究《出埃及記》是重要的。那些讀過《怎樣閱讀創世記）》的人對它們會有似曾相識之感。《創世記》和《出埃及記》在體裁上是相似的（相對于迄今為止這個叢書探討過的另外兩部作品來說，即《詩篇》和《箴言》），因此《怎樣閱讀〈創世記〉》第一章中的許多觀點都會在這里重復。不過，例子將會來自《出埃及記》而不是《創世記》。對那些已經讀過《怎樣閱讀〈創世記〉》的人來說，下一章的閱讀將會提供一個有益的回顧，並為閱讀這本書的其余部分提供準備。</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https://www.books.com.tw/products/CN10708980</w:t>
      </w:r>
    </w:p>
    <w:p>
      <w:pPr>
        <w:jc w:val="left"/>
        <w:rPr>
          <w:rFonts w:hint="eastAsia" w:ascii="新細明體" w:hAnsi="新細明體" w:eastAsia="新細明體" w:cs="新細明體"/>
        </w:rPr>
      </w:pPr>
      <w:r>
        <w:rPr>
          <w:rFonts w:hint="eastAsia" w:ascii="新細明體" w:hAnsi="新細明體" w:eastAsia="新細明體" w:cs="新細明體"/>
        </w:rPr>
        <w:t>https://baike.baidu.hk/item/怎樣閲讀《出埃及記》/3859190</w:t>
      </w:r>
      <w:bookmarkStart w:id="0" w:name="_GoBack"/>
      <w:bookmarkEnd w:id="0"/>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47E95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2022-09-26T13:01:11Z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698372CC1B184C76BD40D78E7183CA68</vt:lpwstr>
  </property>
</Properties>
</file>